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2019年度重庆市重点用能行业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3"/>
          <w:szCs w:val="43"/>
          <w:shd w:val="clear" w:fill="FFFFFF"/>
        </w:rPr>
        <w:t>“能效领跑者”名单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pPr w:leftFromText="180" w:rightFromText="180" w:vertAnchor="text" w:horzAnchor="page" w:tblpX="1054" w:tblpY="1103"/>
        <w:tblOverlap w:val="never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985"/>
        <w:gridCol w:w="1080"/>
        <w:gridCol w:w="1890"/>
        <w:gridCol w:w="2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9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燃煤火力发电行业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298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企业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机组</w:t>
            </w:r>
          </w:p>
        </w:tc>
        <w:tc>
          <w:tcPr>
            <w:tcW w:w="18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装机容量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（MW）</w:t>
            </w:r>
          </w:p>
        </w:tc>
        <w:tc>
          <w:tcPr>
            <w:tcW w:w="288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供电煤耗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（gce/kWh）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神华神东电力重庆万州港电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有限责任公司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2#机组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1050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重庆大唐国际石柱发电有限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责任公司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2#机组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350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08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国家电投集团重庆白鹤电力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有限公司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2#机组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300</w:t>
            </w:r>
          </w:p>
        </w:tc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337.8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9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2940"/>
        <w:gridCol w:w="1125"/>
        <w:gridCol w:w="1905"/>
        <w:gridCol w:w="2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97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水泥行业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生产线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规模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（t/d）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可比熟料综合能耗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（kgce/t）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台泥（重庆）水泥有限公司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2#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4600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东方希望重庆水泥有限公司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5#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4800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华新水泥重庆涪陵有限公司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1#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4600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104.9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58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 </w:t>
      </w:r>
    </w:p>
    <w:tbl>
      <w:tblPr>
        <w:tblW w:w="99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3"/>
        <w:gridCol w:w="2246"/>
        <w:gridCol w:w="2755"/>
        <w:gridCol w:w="1243"/>
        <w:gridCol w:w="2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99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造纸行业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5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生产线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产能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（万吨）</w:t>
            </w:r>
          </w:p>
        </w:tc>
        <w:tc>
          <w:tcPr>
            <w:tcW w:w="26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单位产品能耗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109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玖龙纸业（重庆）有限公司</w:t>
            </w:r>
          </w:p>
        </w:tc>
        <w:tc>
          <w:tcPr>
            <w:tcW w:w="27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PM23高强度瓦楞纸生产线</w:t>
            </w: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54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非脱墨废纸自用浆：56.5kgce/Adt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瓦楞原纸：204.2kgce/t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私家车位</cp:lastModifiedBy>
  <dcterms:modified xsi:type="dcterms:W3CDTF">2020-12-09T01:08:40Z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