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rFonts w:ascii="方正仿宋_GBK" w:eastAsia="方正仿宋_GBK"/>
          <w:sz w:val="32"/>
          <w:szCs w:val="32"/>
        </w:rPr>
      </w:pPr>
    </w:p>
    <w:p>
      <w:pPr>
        <w:pStyle w:val="8"/>
        <w:spacing w:line="500" w:lineRule="exact"/>
        <w:jc w:val="left"/>
        <w:rPr>
          <w:rFonts w:hint="eastAsia" w:ascii="Times New Roman" w:hAnsi="Times New Roman" w:eastAsia="方正黑体_GBK" w:cs="Times New Roman"/>
          <w:b w:val="0"/>
          <w:bCs w:val="0"/>
          <w:color w:val="auto"/>
          <w:highlight w:val="none"/>
          <w:lang w:eastAsia="zh-CN"/>
        </w:rPr>
      </w:pPr>
      <w:bookmarkStart w:id="0" w:name="_GoBack"/>
      <w:bookmarkEnd w:id="0"/>
      <w:r>
        <w:rPr>
          <w:rFonts w:ascii="Times New Roman" w:hAnsi="Times New Roman" w:eastAsia="方正黑体_GBK" w:cs="Times New Roman"/>
          <w:b w:val="0"/>
          <w:bCs w:val="0"/>
          <w:color w:val="auto"/>
          <w:highlight w:val="none"/>
        </w:rPr>
        <w:t>附件</w:t>
      </w:r>
      <w:r>
        <w:rPr>
          <w:rFonts w:hint="eastAsia" w:ascii="Times New Roman" w:hAnsi="Times New Roman" w:eastAsia="方正黑体_GBK" w:cs="Times New Roman"/>
          <w:b w:val="0"/>
          <w:bCs w:val="0"/>
          <w:color w:val="auto"/>
          <w:highlight w:val="none"/>
          <w:lang w:val="en-US" w:eastAsia="zh-CN"/>
        </w:rPr>
        <w:t>1</w:t>
      </w:r>
    </w:p>
    <w:p>
      <w:pPr>
        <w:pStyle w:val="8"/>
        <w:spacing w:line="500" w:lineRule="exact"/>
        <w:jc w:val="center"/>
        <w:rPr>
          <w:rFonts w:ascii="Times New Roman" w:hAnsi="Times New Roman" w:eastAsia="方正小标宋_GBK" w:cs="Times New Roman"/>
          <w:b w:val="0"/>
          <w:bCs w:val="0"/>
          <w:color w:val="auto"/>
          <w:sz w:val="44"/>
          <w:szCs w:val="44"/>
          <w:highlight w:val="none"/>
        </w:rPr>
      </w:pPr>
      <w:r>
        <w:rPr>
          <w:rFonts w:ascii="Times New Roman" w:hAnsi="Times New Roman" w:eastAsia="方正小标宋_GBK" w:cs="Times New Roman"/>
          <w:b w:val="0"/>
          <w:bCs w:val="0"/>
          <w:color w:val="auto"/>
          <w:sz w:val="44"/>
          <w:szCs w:val="44"/>
          <w:highlight w:val="none"/>
        </w:rPr>
        <w:t>202</w:t>
      </w:r>
      <w:r>
        <w:rPr>
          <w:rFonts w:hint="eastAsia" w:ascii="Times New Roman" w:hAnsi="Times New Roman" w:eastAsia="方正小标宋_GBK" w:cs="Times New Roman"/>
          <w:b w:val="0"/>
          <w:bCs w:val="0"/>
          <w:color w:val="auto"/>
          <w:sz w:val="44"/>
          <w:szCs w:val="44"/>
          <w:highlight w:val="none"/>
          <w:lang w:val="en-US" w:eastAsia="zh-CN"/>
        </w:rPr>
        <w:t>2</w:t>
      </w:r>
      <w:r>
        <w:rPr>
          <w:rFonts w:ascii="Times New Roman" w:hAnsi="Times New Roman" w:eastAsia="方正小标宋_GBK" w:cs="Times New Roman"/>
          <w:b w:val="0"/>
          <w:bCs w:val="0"/>
          <w:color w:val="auto"/>
          <w:sz w:val="44"/>
          <w:szCs w:val="44"/>
          <w:highlight w:val="none"/>
        </w:rPr>
        <w:t>年</w:t>
      </w:r>
      <w:r>
        <w:rPr>
          <w:rFonts w:hint="eastAsia" w:ascii="Times New Roman" w:hAnsi="Times New Roman" w:eastAsia="方正小标宋_GBK" w:cs="Times New Roman"/>
          <w:b w:val="0"/>
          <w:bCs w:val="0"/>
          <w:color w:val="auto"/>
          <w:sz w:val="44"/>
          <w:szCs w:val="44"/>
          <w:highlight w:val="none"/>
          <w:lang w:val="en-US" w:eastAsia="zh-CN"/>
        </w:rPr>
        <w:t>重庆市数字经济</w:t>
      </w:r>
      <w:r>
        <w:rPr>
          <w:rFonts w:ascii="Times New Roman" w:hAnsi="Times New Roman" w:eastAsia="方正小标宋_GBK" w:cs="Times New Roman"/>
          <w:b w:val="0"/>
          <w:bCs w:val="0"/>
          <w:color w:val="auto"/>
          <w:sz w:val="44"/>
          <w:szCs w:val="44"/>
          <w:highlight w:val="none"/>
        </w:rPr>
        <w:t>产业发展资金支持项目</w:t>
      </w:r>
      <w:r>
        <w:rPr>
          <w:rFonts w:hint="eastAsia" w:ascii="Times New Roman" w:hAnsi="Times New Roman" w:eastAsia="方正小标宋_GBK" w:cs="Times New Roman"/>
          <w:b w:val="0"/>
          <w:bCs w:val="0"/>
          <w:color w:val="auto"/>
          <w:sz w:val="44"/>
          <w:szCs w:val="44"/>
          <w:highlight w:val="none"/>
          <w:lang w:val="en-US" w:eastAsia="zh-CN"/>
        </w:rPr>
        <w:t>公示</w:t>
      </w:r>
      <w:r>
        <w:rPr>
          <w:rFonts w:ascii="Times New Roman" w:hAnsi="Times New Roman" w:eastAsia="方正小标宋_GBK" w:cs="Times New Roman"/>
          <w:b w:val="0"/>
          <w:bCs w:val="0"/>
          <w:color w:val="auto"/>
          <w:sz w:val="44"/>
          <w:szCs w:val="44"/>
          <w:highlight w:val="none"/>
        </w:rPr>
        <w:t>名单</w:t>
      </w:r>
    </w:p>
    <w:tbl>
      <w:tblPr>
        <w:tblStyle w:val="9"/>
        <w:tblpPr w:leftFromText="180" w:rightFromText="180" w:vertAnchor="text" w:horzAnchor="page" w:tblpXSpec="center" w:tblpY="290"/>
        <w:tblOverlap w:val="never"/>
        <w:tblW w:w="11590" w:type="dxa"/>
        <w:jc w:val="center"/>
        <w:tblLayout w:type="fixed"/>
        <w:tblCellMar>
          <w:top w:w="0" w:type="dxa"/>
          <w:left w:w="0" w:type="dxa"/>
          <w:bottom w:w="0" w:type="dxa"/>
          <w:right w:w="0" w:type="dxa"/>
        </w:tblCellMar>
      </w:tblPr>
      <w:tblGrid>
        <w:gridCol w:w="635"/>
        <w:gridCol w:w="4126"/>
        <w:gridCol w:w="4724"/>
        <w:gridCol w:w="2105"/>
      </w:tblGrid>
      <w:tr>
        <w:tblPrEx>
          <w:tblCellMar>
            <w:top w:w="0" w:type="dxa"/>
            <w:left w:w="0" w:type="dxa"/>
            <w:bottom w:w="0" w:type="dxa"/>
            <w:right w:w="0" w:type="dxa"/>
          </w:tblCellMar>
        </w:tblPrEx>
        <w:trPr>
          <w:trHeight w:val="90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kern w:val="0"/>
                <w:sz w:val="24"/>
                <w:szCs w:val="24"/>
                <w:highlight w:val="none"/>
                <w:lang w:bidi="ar"/>
              </w:rPr>
              <w:t>序号</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kern w:val="0"/>
                <w:sz w:val="24"/>
                <w:szCs w:val="24"/>
                <w:highlight w:val="none"/>
                <w:lang w:bidi="ar"/>
              </w:rPr>
              <w:t>单位</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kern w:val="0"/>
                <w:sz w:val="24"/>
                <w:szCs w:val="24"/>
                <w:highlight w:val="none"/>
                <w:lang w:bidi="ar"/>
              </w:rPr>
              <w:t>项目名称</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kern w:val="0"/>
                <w:sz w:val="24"/>
                <w:szCs w:val="24"/>
                <w:highlight w:val="none"/>
                <w:lang w:bidi="ar"/>
              </w:rPr>
              <w:t>申报方向</w:t>
            </w:r>
          </w:p>
        </w:tc>
      </w:tr>
      <w:tr>
        <w:tblPrEx>
          <w:tblCellMar>
            <w:top w:w="0" w:type="dxa"/>
            <w:left w:w="0" w:type="dxa"/>
            <w:bottom w:w="0" w:type="dxa"/>
            <w:right w:w="0" w:type="dxa"/>
          </w:tblCellMar>
        </w:tblPrEx>
        <w:trPr>
          <w:trHeight w:val="73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eastAsia" w:ascii="Times New Roman" w:hAnsi="Times New Roman" w:eastAsia="方正仿宋_GBK" w:cs="Times New Roman"/>
                <w:color w:val="auto"/>
                <w:kern w:val="0"/>
                <w:sz w:val="24"/>
                <w:szCs w:val="24"/>
                <w:highlight w:val="none"/>
                <w:lang w:val="en-US" w:eastAsia="zh-CN" w:bidi="ar"/>
              </w:rPr>
            </w:pPr>
            <w:r>
              <w:rPr>
                <w:rFonts w:hint="eastAsia" w:ascii="Times New Roman" w:hAnsi="Times New Roman" w:eastAsia="方正仿宋_GBK" w:cs="Times New Roman"/>
                <w:color w:val="auto"/>
                <w:kern w:val="0"/>
                <w:sz w:val="24"/>
                <w:szCs w:val="24"/>
                <w:highlight w:val="none"/>
                <w:lang w:val="en-US" w:eastAsia="zh-CN" w:bidi="ar"/>
              </w:rPr>
              <w:t>1</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航天新通科技有限公司</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行业5G通信系统研发及应用</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kern w:val="0"/>
                <w:sz w:val="24"/>
                <w:szCs w:val="24"/>
                <w:highlight w:val="none"/>
                <w:lang w:val="en-US" w:eastAsia="zh-CN" w:bidi="ar"/>
              </w:rPr>
              <w:t>2</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重庆智翔金泰生物制药股份有限公司</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高端生物制剂研发与产业化</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通信网络</w:t>
            </w:r>
          </w:p>
        </w:tc>
      </w:tr>
      <w:tr>
        <w:tblPrEx>
          <w:tblCellMar>
            <w:top w:w="0" w:type="dxa"/>
            <w:left w:w="0" w:type="dxa"/>
            <w:bottom w:w="0" w:type="dxa"/>
            <w:right w:w="0" w:type="dxa"/>
          </w:tblCellMar>
        </w:tblPrEx>
        <w:trPr>
          <w:trHeight w:val="68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kern w:val="0"/>
                <w:sz w:val="24"/>
                <w:szCs w:val="24"/>
                <w:highlight w:val="none"/>
                <w:lang w:val="en-US" w:eastAsia="zh-CN" w:bidi="ar"/>
              </w:rPr>
              <w:t>3</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重庆长安车联科技有限公司</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长安车联智能驾驶汽车产业园区出行场景应用示范</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智能网联汽车</w:t>
            </w:r>
          </w:p>
        </w:tc>
      </w:tr>
      <w:tr>
        <w:tblPrEx>
          <w:tblCellMar>
            <w:top w:w="0" w:type="dxa"/>
            <w:left w:w="0" w:type="dxa"/>
            <w:bottom w:w="0" w:type="dxa"/>
            <w:right w:w="0" w:type="dxa"/>
          </w:tblCellMar>
        </w:tblPrEx>
        <w:trPr>
          <w:trHeight w:val="90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kern w:val="0"/>
                <w:sz w:val="24"/>
                <w:szCs w:val="24"/>
                <w:highlight w:val="none"/>
                <w:lang w:val="en-US" w:eastAsia="zh-CN" w:bidi="ar"/>
              </w:rPr>
              <w:t>4</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重庆峘能电动车科技有限公司</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V2V无站换电</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智能网联汽车</w:t>
            </w:r>
          </w:p>
        </w:tc>
      </w:tr>
      <w:tr>
        <w:tblPrEx>
          <w:tblCellMar>
            <w:top w:w="0" w:type="dxa"/>
            <w:left w:w="0" w:type="dxa"/>
            <w:bottom w:w="0" w:type="dxa"/>
            <w:right w:w="0" w:type="dxa"/>
          </w:tblCellMar>
        </w:tblPrEx>
        <w:trPr>
          <w:trHeight w:val="90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kern w:val="0"/>
                <w:sz w:val="24"/>
                <w:szCs w:val="24"/>
                <w:highlight w:val="none"/>
                <w:lang w:val="en-US" w:eastAsia="zh-CN" w:bidi="ar"/>
              </w:rPr>
              <w:t>5</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重庆旭永科技发展有限公司</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气瓶检验管理平台</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互联网平台</w:t>
            </w:r>
          </w:p>
        </w:tc>
      </w:tr>
      <w:tr>
        <w:tblPrEx>
          <w:tblCellMar>
            <w:top w:w="0" w:type="dxa"/>
            <w:left w:w="0" w:type="dxa"/>
            <w:bottom w:w="0" w:type="dxa"/>
            <w:right w:w="0" w:type="dxa"/>
          </w:tblCellMar>
        </w:tblPrEx>
        <w:trPr>
          <w:trHeight w:val="112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kern w:val="0"/>
                <w:sz w:val="24"/>
                <w:szCs w:val="24"/>
                <w:highlight w:val="none"/>
                <w:lang w:val="en-US" w:eastAsia="zh-CN" w:bidi="ar"/>
              </w:rPr>
              <w:t>6</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重庆宗灿科技发展有限公司</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智慧养老综合服务平台</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互联网平台</w:t>
            </w:r>
          </w:p>
        </w:tc>
      </w:tr>
      <w:tr>
        <w:tblPrEx>
          <w:tblCellMar>
            <w:top w:w="0" w:type="dxa"/>
            <w:left w:w="0" w:type="dxa"/>
            <w:bottom w:w="0" w:type="dxa"/>
            <w:right w:w="0" w:type="dxa"/>
          </w:tblCellMar>
        </w:tblPrEx>
        <w:trPr>
          <w:trHeight w:val="112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kern w:val="0"/>
                <w:sz w:val="24"/>
                <w:szCs w:val="24"/>
                <w:highlight w:val="none"/>
                <w:lang w:val="en-US" w:eastAsia="zh-CN" w:bidi="ar"/>
              </w:rPr>
              <w:t>7</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重庆市急救医疗中心（重庆大学附属</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中心医院）</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糖尿病急慢性并发症管理系统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建设与示范应用</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数据治理</w:t>
            </w:r>
          </w:p>
        </w:tc>
      </w:tr>
      <w:tr>
        <w:tblPrEx>
          <w:tblCellMar>
            <w:top w:w="0" w:type="dxa"/>
            <w:left w:w="0" w:type="dxa"/>
            <w:bottom w:w="0" w:type="dxa"/>
            <w:right w:w="0" w:type="dxa"/>
          </w:tblCellMar>
        </w:tblPrEx>
        <w:trPr>
          <w:trHeight w:val="872"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eastAsia" w:ascii="Times New Roman" w:hAnsi="Times New Roman" w:eastAsia="方正仿宋_GBK" w:cs="Times New Roman"/>
                <w:color w:val="auto"/>
                <w:sz w:val="24"/>
                <w:szCs w:val="24"/>
                <w:highlight w:val="none"/>
                <w:lang w:eastAsia="zh-CN"/>
              </w:rPr>
            </w:pPr>
            <w:r>
              <w:rPr>
                <w:rFonts w:hint="eastAsia" w:ascii="Times New Roman" w:hAnsi="Times New Roman" w:eastAsia="方正仿宋_GBK" w:cs="Times New Roman"/>
                <w:color w:val="auto"/>
                <w:kern w:val="0"/>
                <w:sz w:val="24"/>
                <w:szCs w:val="24"/>
                <w:highlight w:val="none"/>
                <w:lang w:val="en-US" w:eastAsia="zh-CN" w:bidi="ar"/>
              </w:rPr>
              <w:t>8</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重庆市规划和自然资源信息中心</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规划自然资源数据全生命周期</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治理平台</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数据治理</w:t>
            </w:r>
          </w:p>
        </w:tc>
      </w:tr>
      <w:tr>
        <w:tblPrEx>
          <w:tblCellMar>
            <w:top w:w="0" w:type="dxa"/>
            <w:left w:w="0" w:type="dxa"/>
            <w:bottom w:w="0" w:type="dxa"/>
            <w:right w:w="0" w:type="dxa"/>
          </w:tblCellMar>
        </w:tblPrEx>
        <w:trPr>
          <w:trHeight w:val="89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lang w:val="en-US" w:eastAsia="zh-CN"/>
              </w:rPr>
            </w:pPr>
            <w:r>
              <w:rPr>
                <w:rFonts w:hint="eastAsia" w:ascii="Times New Roman" w:hAnsi="Times New Roman" w:eastAsia="方正仿宋_GBK" w:cs="Times New Roman"/>
                <w:color w:val="auto"/>
                <w:kern w:val="0"/>
                <w:sz w:val="24"/>
                <w:szCs w:val="24"/>
                <w:highlight w:val="none"/>
                <w:lang w:val="en-US" w:eastAsia="zh-CN" w:bidi="ar"/>
              </w:rPr>
              <w:t>9</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重庆市红十字会医院</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医院信息系统数据治理与数据</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安全治理</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数据治理</w:t>
            </w:r>
          </w:p>
        </w:tc>
      </w:tr>
      <w:tr>
        <w:tblPrEx>
          <w:tblCellMar>
            <w:top w:w="0" w:type="dxa"/>
            <w:left w:w="0" w:type="dxa"/>
            <w:bottom w:w="0" w:type="dxa"/>
            <w:right w:w="0" w:type="dxa"/>
          </w:tblCellMar>
        </w:tblPrEx>
        <w:trPr>
          <w:trHeight w:val="90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kern w:val="0"/>
                <w:sz w:val="24"/>
                <w:szCs w:val="24"/>
                <w:highlight w:val="none"/>
                <w:lang w:val="en-US" w:eastAsia="zh-CN" w:bidi="ar"/>
              </w:rPr>
            </w:pPr>
            <w:r>
              <w:rPr>
                <w:rFonts w:hint="eastAsia" w:ascii="Times New Roman" w:hAnsi="Times New Roman" w:eastAsia="方正仿宋_GBK" w:cs="Times New Roman"/>
                <w:color w:val="auto"/>
                <w:kern w:val="0"/>
                <w:sz w:val="24"/>
                <w:szCs w:val="24"/>
                <w:highlight w:val="none"/>
                <w:lang w:val="en-US" w:eastAsia="zh-CN" w:bidi="ar"/>
              </w:rPr>
              <w:t>10</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重庆农村大数据投资股份有限公司</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当康数智辅助决策支撑系统</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数据治理</w:t>
            </w:r>
          </w:p>
        </w:tc>
      </w:tr>
      <w:tr>
        <w:tblPrEx>
          <w:tblCellMar>
            <w:top w:w="0" w:type="dxa"/>
            <w:left w:w="0" w:type="dxa"/>
            <w:bottom w:w="0" w:type="dxa"/>
            <w:right w:w="0" w:type="dxa"/>
          </w:tblCellMar>
        </w:tblPrEx>
        <w:trPr>
          <w:trHeight w:val="757" w:hRule="exac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kern w:val="0"/>
                <w:sz w:val="24"/>
                <w:szCs w:val="24"/>
                <w:highlight w:val="none"/>
                <w:lang w:val="en-US" w:eastAsia="zh-CN" w:bidi="ar"/>
              </w:rPr>
            </w:pPr>
            <w:r>
              <w:rPr>
                <w:rFonts w:hint="eastAsia" w:ascii="Times New Roman" w:hAnsi="Times New Roman" w:eastAsia="方正仿宋_GBK" w:cs="Times New Roman"/>
                <w:color w:val="auto"/>
                <w:kern w:val="0"/>
                <w:sz w:val="24"/>
                <w:szCs w:val="24"/>
                <w:highlight w:val="none"/>
                <w:lang w:val="en-US" w:eastAsia="zh-CN" w:bidi="ar"/>
              </w:rPr>
              <w:t>11</w:t>
            </w:r>
          </w:p>
        </w:tc>
        <w:tc>
          <w:tcPr>
            <w:tcW w:w="4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重庆中法环保研发中心有限公司</w:t>
            </w:r>
          </w:p>
        </w:tc>
        <w:tc>
          <w:tcPr>
            <w:tcW w:w="47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i w:val="0"/>
                <w:color w:val="auto"/>
                <w:kern w:val="0"/>
                <w:sz w:val="24"/>
                <w:szCs w:val="24"/>
                <w:highlight w:val="none"/>
                <w:u w:val="none"/>
                <w:lang w:val="en-US" w:eastAsia="zh-CN" w:bidi="ar"/>
              </w:rPr>
            </w:pPr>
            <w:r>
              <w:rPr>
                <w:rFonts w:hint="default" w:ascii="Times New Roman" w:hAnsi="Times New Roman" w:eastAsia="方正仿宋_GBK" w:cs="Times New Roman"/>
                <w:i w:val="0"/>
                <w:color w:val="auto"/>
                <w:kern w:val="0"/>
                <w:sz w:val="24"/>
                <w:szCs w:val="24"/>
                <w:highlight w:val="none"/>
                <w:u w:val="none"/>
                <w:lang w:val="en-US" w:eastAsia="zh-CN" w:bidi="ar"/>
              </w:rPr>
              <w:t>工程建设投资决策与大数据</w:t>
            </w:r>
          </w:p>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分析平台</w:t>
            </w:r>
          </w:p>
        </w:tc>
        <w:tc>
          <w:tcPr>
            <w:tcW w:w="2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color w:val="auto"/>
                <w:kern w:val="0"/>
                <w:sz w:val="24"/>
                <w:szCs w:val="24"/>
                <w:highlight w:val="none"/>
                <w:u w:val="none"/>
                <w:lang w:val="en-US" w:eastAsia="zh-CN" w:bidi="ar"/>
              </w:rPr>
              <w:t>数据治理</w:t>
            </w:r>
          </w:p>
        </w:tc>
      </w:tr>
    </w:tbl>
    <w:p>
      <w:pPr>
        <w:rPr>
          <w:rFonts w:ascii="Times New Roman" w:hAnsi="Times New Roman" w:eastAsia="方正黑体_GBK" w:cs="Times New Roman"/>
          <w:b w:val="0"/>
          <w:bCs w:val="0"/>
          <w:color w:val="auto"/>
          <w:sz w:val="32"/>
          <w:szCs w:val="32"/>
          <w:highlight w:val="none"/>
        </w:rPr>
      </w:pPr>
      <w:r>
        <w:rPr>
          <w:rFonts w:ascii="Times New Roman" w:hAnsi="Times New Roman" w:eastAsia="方正黑体_GBK" w:cs="Times New Roman"/>
          <w:b w:val="0"/>
          <w:bCs w:val="0"/>
          <w:color w:val="auto"/>
          <w:sz w:val="32"/>
          <w:szCs w:val="32"/>
          <w:highlight w:val="none"/>
        </w:rPr>
        <w:br w:type="page"/>
      </w:r>
    </w:p>
    <w:p>
      <w:pPr>
        <w:rPr>
          <w:rFonts w:hint="eastAsia" w:ascii="Times New Roman" w:hAnsi="Times New Roman" w:eastAsia="方正黑体_GBK" w:cs="Times New Roman"/>
          <w:b w:val="0"/>
          <w:bCs w:val="0"/>
          <w:color w:val="auto"/>
          <w:sz w:val="32"/>
          <w:szCs w:val="32"/>
          <w:highlight w:val="none"/>
          <w:lang w:eastAsia="zh-CN"/>
        </w:rPr>
      </w:pPr>
      <w:r>
        <w:rPr>
          <w:rFonts w:ascii="Times New Roman" w:hAnsi="Times New Roman" w:eastAsia="方正黑体_GBK" w:cs="Times New Roman"/>
          <w:b w:val="0"/>
          <w:bCs w:val="0"/>
          <w:color w:val="auto"/>
          <w:sz w:val="32"/>
          <w:szCs w:val="32"/>
          <w:highlight w:val="none"/>
        </w:rPr>
        <w:t>附件</w:t>
      </w:r>
      <w:r>
        <w:rPr>
          <w:rFonts w:hint="eastAsia" w:ascii="Times New Roman" w:hAnsi="Times New Roman" w:eastAsia="方正黑体_GBK" w:cs="Times New Roman"/>
          <w:b w:val="0"/>
          <w:bCs w:val="0"/>
          <w:color w:val="auto"/>
          <w:sz w:val="32"/>
          <w:szCs w:val="32"/>
          <w:highlight w:val="none"/>
          <w:lang w:val="en-US" w:eastAsia="zh-CN"/>
        </w:rPr>
        <w:t>2</w:t>
      </w:r>
    </w:p>
    <w:p>
      <w:pPr>
        <w:pStyle w:val="8"/>
        <w:spacing w:line="500" w:lineRule="exact"/>
        <w:jc w:val="center"/>
        <w:rPr>
          <w:rFonts w:ascii="Times New Roman" w:hAnsi="Times New Roman" w:eastAsia="方正小标宋_GBK" w:cs="Times New Roman"/>
          <w:b w:val="0"/>
          <w:bCs w:val="0"/>
          <w:color w:val="auto"/>
          <w:sz w:val="44"/>
          <w:szCs w:val="44"/>
          <w:highlight w:val="none"/>
        </w:rPr>
      </w:pPr>
      <w:r>
        <w:rPr>
          <w:rFonts w:ascii="Times New Roman" w:hAnsi="Times New Roman" w:eastAsia="方正小标宋_GBK" w:cs="Times New Roman"/>
          <w:b w:val="0"/>
          <w:bCs w:val="0"/>
          <w:color w:val="auto"/>
          <w:sz w:val="44"/>
          <w:szCs w:val="44"/>
          <w:highlight w:val="none"/>
        </w:rPr>
        <w:t>202</w:t>
      </w:r>
      <w:r>
        <w:rPr>
          <w:rFonts w:hint="eastAsia" w:ascii="Times New Roman" w:hAnsi="Times New Roman" w:eastAsia="方正小标宋_GBK" w:cs="Times New Roman"/>
          <w:b w:val="0"/>
          <w:bCs w:val="0"/>
          <w:color w:val="auto"/>
          <w:sz w:val="44"/>
          <w:szCs w:val="44"/>
          <w:highlight w:val="none"/>
          <w:lang w:val="en-US" w:eastAsia="zh-CN"/>
        </w:rPr>
        <w:t>2</w:t>
      </w:r>
      <w:r>
        <w:rPr>
          <w:rFonts w:ascii="Times New Roman" w:hAnsi="Times New Roman" w:eastAsia="方正小标宋_GBK" w:cs="Times New Roman"/>
          <w:b w:val="0"/>
          <w:bCs w:val="0"/>
          <w:color w:val="auto"/>
          <w:sz w:val="44"/>
          <w:szCs w:val="44"/>
          <w:highlight w:val="none"/>
        </w:rPr>
        <w:t>年</w:t>
      </w:r>
      <w:r>
        <w:rPr>
          <w:rFonts w:hint="eastAsia" w:ascii="Times New Roman" w:hAnsi="Times New Roman" w:eastAsia="方正小标宋_GBK" w:cs="Times New Roman"/>
          <w:b w:val="0"/>
          <w:bCs w:val="0"/>
          <w:color w:val="auto"/>
          <w:sz w:val="44"/>
          <w:szCs w:val="44"/>
          <w:highlight w:val="none"/>
          <w:lang w:val="en-US" w:eastAsia="zh-CN"/>
        </w:rPr>
        <w:t>重庆市数字经济</w:t>
      </w:r>
      <w:r>
        <w:rPr>
          <w:rFonts w:ascii="Times New Roman" w:hAnsi="Times New Roman" w:eastAsia="方正小标宋_GBK" w:cs="Times New Roman"/>
          <w:b w:val="0"/>
          <w:bCs w:val="0"/>
          <w:color w:val="auto"/>
          <w:sz w:val="44"/>
          <w:szCs w:val="44"/>
          <w:highlight w:val="none"/>
        </w:rPr>
        <w:t>产业发展试点示范项目</w:t>
      </w:r>
      <w:r>
        <w:rPr>
          <w:rFonts w:hint="eastAsia" w:ascii="Times New Roman" w:hAnsi="Times New Roman" w:eastAsia="方正小标宋_GBK" w:cs="Times New Roman"/>
          <w:b w:val="0"/>
          <w:bCs w:val="0"/>
          <w:color w:val="auto"/>
          <w:sz w:val="44"/>
          <w:szCs w:val="44"/>
          <w:highlight w:val="none"/>
          <w:lang w:val="en-US" w:eastAsia="zh-CN"/>
        </w:rPr>
        <w:t>公示</w:t>
      </w:r>
      <w:r>
        <w:rPr>
          <w:rFonts w:ascii="Times New Roman" w:hAnsi="Times New Roman" w:eastAsia="方正小标宋_GBK" w:cs="Times New Roman"/>
          <w:b w:val="0"/>
          <w:bCs w:val="0"/>
          <w:color w:val="auto"/>
          <w:sz w:val="44"/>
          <w:szCs w:val="44"/>
          <w:highlight w:val="none"/>
        </w:rPr>
        <w:t>名单</w:t>
      </w:r>
    </w:p>
    <w:p>
      <w:pPr>
        <w:rPr>
          <w:color w:val="auto"/>
          <w:highlight w:val="none"/>
        </w:rPr>
      </w:pPr>
    </w:p>
    <w:tbl>
      <w:tblPr>
        <w:tblStyle w:val="9"/>
        <w:tblW w:w="11962" w:type="dxa"/>
        <w:jc w:val="center"/>
        <w:tblLayout w:type="fixed"/>
        <w:tblCellMar>
          <w:top w:w="0" w:type="dxa"/>
          <w:left w:w="0" w:type="dxa"/>
          <w:bottom w:w="0" w:type="dxa"/>
          <w:right w:w="0" w:type="dxa"/>
        </w:tblCellMar>
      </w:tblPr>
      <w:tblGrid>
        <w:gridCol w:w="855"/>
        <w:gridCol w:w="3675"/>
        <w:gridCol w:w="5557"/>
        <w:gridCol w:w="1875"/>
      </w:tblGrid>
      <w:tr>
        <w:tblPrEx>
          <w:tblCellMar>
            <w:top w:w="0" w:type="dxa"/>
            <w:left w:w="0" w:type="dxa"/>
            <w:bottom w:w="0" w:type="dxa"/>
            <w:right w:w="0" w:type="dxa"/>
          </w:tblCellMar>
        </w:tblPrEx>
        <w:trPr>
          <w:trHeight w:val="737" w:hRule="exact"/>
          <w:tblHeader/>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i w:val="0"/>
                <w:color w:val="auto"/>
                <w:kern w:val="0"/>
                <w:sz w:val="22"/>
                <w:szCs w:val="22"/>
                <w:highlight w:val="none"/>
                <w:u w:val="none"/>
                <w:lang w:val="en-US" w:eastAsia="zh-CN" w:bidi="ar"/>
              </w:rPr>
              <w:t>序号</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i w:val="0"/>
                <w:color w:val="auto"/>
                <w:kern w:val="0"/>
                <w:sz w:val="22"/>
                <w:szCs w:val="22"/>
                <w:highlight w:val="none"/>
                <w:u w:val="none"/>
                <w:lang w:val="en-US" w:eastAsia="zh-CN" w:bidi="ar"/>
              </w:rPr>
              <w:t>单位</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i w:val="0"/>
                <w:color w:val="auto"/>
                <w:kern w:val="0"/>
                <w:sz w:val="22"/>
                <w:szCs w:val="22"/>
                <w:highlight w:val="none"/>
                <w:u w:val="none"/>
                <w:lang w:val="en-US" w:eastAsia="zh-CN" w:bidi="ar"/>
              </w:rPr>
              <w:t>项目名称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i w:val="0"/>
                <w:color w:val="auto"/>
                <w:kern w:val="0"/>
                <w:sz w:val="22"/>
                <w:szCs w:val="22"/>
                <w:highlight w:val="none"/>
                <w:u w:val="none"/>
                <w:lang w:val="en-US" w:eastAsia="zh-CN" w:bidi="ar"/>
              </w:rPr>
              <w:t>申报方向</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航天新通科技有限公司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行业5G通信系统研发及应用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重庆智翔金泰生物制药股份有限公司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高端生物制剂研发与产业化</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重庆四通都成科技发展有限公司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建筑设备物联网管理平台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中科顶峰智能科技（重庆）有限公司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云边端一体化智能灾变识别系统研发与产业化</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重庆金美通信有限责任公司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虹云低轨卫星移动通信系统中机动式信关站研制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重庆西南集成电路设计有限责任公司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双频低功耗北斗三号卫星导航芯片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重庆广播电视信息网络有限公司梁平分公司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梁平区应急广播系统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重庆吉芯科技有限公司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应用于低轨卫星通讯的超高速模数转换器芯片</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通信网络</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重庆长安车联科技有限公司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长安车联智能驾驶汽车产业园区出行场景应用示范</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重庆峘能电动车科技有限公司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V2V无站换电</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重庆卡佐科技有限公司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车辆综合资源管理“一站式”服务平台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重庆金冠汽车制造股份有限公司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基于工业大数据的智慧房车智能制造及应用示范</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重庆优擎科技有限公司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智能网联汽车云记录安全辅助驾驶云服务平台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重庆永川大数据产业园开发管理有限公司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西部自动驾驶开放测试基地—自动驾驶智慧公路建设</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重庆迪马工业有限责任公司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面向应急场景的专用车智能网联平台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重庆市通信产业服务有限公司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车联网管理平台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智能网联汽车</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重庆位图信息技术有限公司 </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面向人工智能应用的基础软硬件及定制系统解决方案</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人工智能  </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 重庆八戒财云网络科技有限公司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八戒财税智能申报平台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人工智能  </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重庆美天科技有限公司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智慧气候预测一体化业务平台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人工智能  </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 重庆子元科技有限公司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 VR警务智训系统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人工智能  </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马上消费金融股份有限公司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基于人工智能识别技术的生物安全与防伪解决方案 </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重庆锦禹云能源科技有限公司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基于人工智能技术的电网数据融合应用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重庆无人系统技术研究院有限责任公司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智能智造—无人系统技术在无人船上的应用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重庆虚拟实境科技有限公司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超写实全智能数字人实时互动系统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重庆泓宝科技股份有限公司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坐岗机器人</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重庆市天实精工科技有限公司  </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面向服务机器人关键零部件摄像头模组的研发与应用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重庆锐明信息技术有限公司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深度学习主动安全智能系统安标闭环管理的平台研发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英业达(重庆)有限公司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AI工业视觉检测融合应用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29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重庆市万州区三峡绣手工艺品有限公司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OMS人工智能生产管理系统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重庆中科摇橹船信息科技有限公司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基于机器视觉的半导体芯片封装缺陷检测系统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重庆三峡学院</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数字孪生智慧校园人脸识别系统研究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人工智能</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重庆首讯科技股份有限公司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重庆高速“高速云”建设</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先进计算</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重庆交通大学 </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智能交通科教融合创新大数据云平台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先进计算</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重庆可兰达科技有限公司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贪婪梦幻岛研发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重庆三峡融媒体中心</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重庆三峡融媒体中心“中央厨房”建设</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数字内容</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重庆潮尚互联网科技有限公司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2021年农村电商商旅融合培育</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重庆万读简帛科技有限公司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万读数字阅读文创平台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重庆铎魁文化传媒有限公司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《铎魁电竞少年》</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39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龙传龙影视传媒（重庆）有限公司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《世上只有妈妈好》</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数字内容</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重庆趣链数字科技有限公司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信农链”数字乡村公共服务平台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国农（重庆）生猪大数据产业发展有限公司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区块链畜禽数字化印章创新监管系统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重庆小雨点小额贷款有限公司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去中心化供应链智能生态全平台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重庆易保全网络科技有限公司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区块链电子签约平台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迪肯区块链科技（重庆）有限公司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区块链溯源电商平台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重庆憨牛技术创新服务有限公司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建工大数据与企业服务平台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重庆复杂美科技有限公司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区块链+碳排放管理平台建设</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区块链</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撼地数智（重庆）科技有限公司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撼地优园智选服务平台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互联网平台 </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重庆誉存科技有限公司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巴巴实企业服务云平台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互联网平台 </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49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重庆旭永科技发展有限公司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气瓶检验管理平台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重庆啄木鸟网络科技有限公司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啄木鸟家庭维修全国公共服务O2O平台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重庆宗灿科技发展有限公司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智慧养老综合服务平台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重庆文德数字科技有限公司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文德数慧大数据处理平台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广域铭岛数字科技有限公司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吉利工业互联网大数据AI集成创新平台 </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重庆市龙易购科技有限公司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智工人才——工业企业蓝领直招公共服务平台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重庆云江工业互联网有限公司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基于QID的云江工业互联网公共服务平台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重庆载禾农业发展股份有限公司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“载禾优生活”互联网电商平台升级完善</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重庆自由维度物联网科技有限公司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装修产业数字化综合管理互联网平台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重庆市树德科技有限公司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树至云工业互联网云平台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59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安博馨（重庆）健康养老服务有限公司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智慧居家养老与安防管理平台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重庆市梁平区大数据应用发展服务中心</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智汇都梁城市服务统一APP</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重庆移动金融有限责任公司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重庆市民通智慧交通便民服务项目建设及示范应用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重庆芝诺大数据有限公司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面向新职业的产教融合培育体系及其创新实践信息化平台构建与应用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重庆富民银行股份有限公司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小微企业票据智能化融资服务平台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重庆华工智造工业技术研究院有限公司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川渝一体化工业服务（MES）平台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重庆云创科技有限公司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云创工业互联网可信服务平台 </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重庆康洲大数据（集团）有限公司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医药大数据移动端智能分析系统（药智数据APP4.0）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重庆华龙网集团股份有限公司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龙少年——华龙网小记者社会责任教育</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益模（重庆）智能制造研究院有限公司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EMOM益模离散制造运营管理系统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69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重庆固守大数据有限公司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基于大数据技术的产业互联网服务平台的研发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中国移动通信集团重庆有限公司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江津区“数智乡村”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重庆数字城市科技有限公司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智慧社区家园综合服务与运管云平台（第二期）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重庆卡歌科技有限公司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陆海新通道跨境多式联运平台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重庆慧都科技有限公司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慧都IMES智能制造执行系统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武隆喀斯特旅游产业（集团）有限公司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武隆全域智慧旅游</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重庆目的地国际旅行社有限公司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“旅游、农特”产业化智能平台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重庆市城投金卡信息产业（集团）股份有限公司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“渝悦行” APP </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重庆市金慧艾医药有限公司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金慧艾精准控销B2B医药平台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重庆鑫享乐电子科技有限公司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水产、冻品数字化供应链管理云平台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79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重庆华医康道科技有限公司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集中隔离医学观察点管理系统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重庆蓝瓶子供应链管理有限公司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“江小白”工业互联网平台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571"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重庆裕驰沄科网络科技有限公司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占星者5G边缘计算器预测性维护应用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508"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重庆海润节能技术股份有限公司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智能医用新风系统远程运维云服务平台应用示范</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612"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骐鸿（重庆）科技有限公司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非洲贸易中心网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529"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重庆劢志城科技有限公司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万州区城区智慧停车管理系统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44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重庆享通体育文化有限公司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重庆体育公共服务平台（渝快运动）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重庆市粟米供应链管理有限公司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粟米供应链跨境电商物流平台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互联网平台</w:t>
            </w:r>
          </w:p>
        </w:tc>
      </w:tr>
      <w:tr>
        <w:tblPrEx>
          <w:tblCellMar>
            <w:top w:w="0" w:type="dxa"/>
            <w:left w:w="0" w:type="dxa"/>
            <w:bottom w:w="0" w:type="dxa"/>
            <w:right w:w="0" w:type="dxa"/>
          </w:tblCellMar>
        </w:tblPrEx>
        <w:trPr>
          <w:trHeight w:val="446"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东方中讯数字证书认证有限公司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云密码服务平台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网络安全 </w:t>
            </w:r>
          </w:p>
        </w:tc>
      </w:tr>
      <w:tr>
        <w:tblPrEx>
          <w:tblCellMar>
            <w:top w:w="0" w:type="dxa"/>
            <w:left w:w="0" w:type="dxa"/>
            <w:bottom w:w="0" w:type="dxa"/>
            <w:right w:w="0" w:type="dxa"/>
          </w:tblCellMar>
        </w:tblPrEx>
        <w:trPr>
          <w:trHeight w:val="46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重庆天融信网络安全技术有限公司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重庆市合川区信创工程系统集成服务</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CellMar>
            <w:top w:w="0" w:type="dxa"/>
            <w:left w:w="0" w:type="dxa"/>
            <w:bottom w:w="0" w:type="dxa"/>
            <w:right w:w="0" w:type="dxa"/>
          </w:tblCellMar>
        </w:tblPrEx>
        <w:trPr>
          <w:trHeight w:val="592"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89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重庆长安汽车股份有限公司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长安汽车基地工控安全防护</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CellMar>
            <w:top w:w="0" w:type="dxa"/>
            <w:left w:w="0" w:type="dxa"/>
            <w:bottom w:w="0" w:type="dxa"/>
            <w:right w:w="0" w:type="dxa"/>
          </w:tblCellMar>
        </w:tblPrEx>
        <w:trPr>
          <w:trHeight w:val="592"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重庆市信息通信咨询设计院有限公司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基于大数据分析技术的智能网络安全运营平台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CellMar>
            <w:top w:w="0" w:type="dxa"/>
            <w:left w:w="0" w:type="dxa"/>
            <w:bottom w:w="0" w:type="dxa"/>
            <w:right w:w="0" w:type="dxa"/>
          </w:tblCellMar>
        </w:tblPrEx>
        <w:trPr>
          <w:trHeight w:val="530"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博瑞得科技有限公司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博瑞得网络安全管理平台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CellMar>
            <w:top w:w="0" w:type="dxa"/>
            <w:left w:w="0" w:type="dxa"/>
            <w:bottom w:w="0" w:type="dxa"/>
            <w:right w:w="0" w:type="dxa"/>
          </w:tblCellMar>
        </w:tblPrEx>
        <w:trPr>
          <w:trHeight w:val="508"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 xml:space="preserve">重庆衡鉴信息技术有限公司 </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密码应用安全性测评中心（一期）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网络安全</w:t>
            </w:r>
          </w:p>
        </w:tc>
      </w:tr>
      <w:tr>
        <w:tblPrEx>
          <w:tblCellMar>
            <w:top w:w="0" w:type="dxa"/>
            <w:left w:w="0" w:type="dxa"/>
            <w:bottom w:w="0" w:type="dxa"/>
            <w:right w:w="0" w:type="dxa"/>
          </w:tblCellMar>
        </w:tblPrEx>
        <w:trPr>
          <w:trHeight w:val="529"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重庆市急救医疗中心（重庆大学附属中心医院）</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糖尿病急慢性并发症管理系统建设与示范应用</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488"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重庆市规划和自然资源信息中心</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规划自然资源数据全生命周期治理平台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重庆市红十字会医院</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医院信息系统数据治理与数据安全治理</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重庆圆钢智能工程有限公司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绿色机关大数据平台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重庆农村大数据投资股份有限公司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当康数智辅助决策支撑系统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98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重庆中法环保研发中心有限公司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工程建设投资决策与大数据分析平台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lang w:val="en-US"/>
              </w:rPr>
            </w:pPr>
            <w:r>
              <w:rPr>
                <w:rFonts w:hint="default" w:ascii="Times New Roman" w:hAnsi="Times New Roman" w:eastAsia="方正仿宋_GBK" w:cs="Times New Roman"/>
                <w:i w:val="0"/>
                <w:color w:val="000000"/>
                <w:kern w:val="0"/>
                <w:sz w:val="21"/>
                <w:szCs w:val="21"/>
                <w:u w:val="none"/>
                <w:lang w:val="en-US" w:eastAsia="zh-CN" w:bidi="ar"/>
              </w:rPr>
              <w:t>99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重庆金交劲通科技股份有限公司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城开高速公路智慧管理平台（A1合同段）</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重庆华龙网海数科技有限公司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海数元数据管理平台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猪八戒股份有限公司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猪八戒大数据质量平台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重庆幼儿师范高等专科学校</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学前教育大数据智能服务平台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重庆有线电视网络股份有限公司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基于大数据的智慧营销分析系统研发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重庆莱美药业股份有限公司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莱美药业固体车间数字化改造</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105</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重庆市第九人民医院</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基于医疗全过程大数据的无纸化管理信息平台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106</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重庆满惠网络科技有限公司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基于5G物联网的智慧社区数据治理服务云平台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107</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重庆数康科技服务有限公司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医学影像数据标准化治理</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108</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重庆励祺科技有限公司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Liqitech VUD数据可视化大屏平台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1"/>
                <w:szCs w:val="21"/>
                <w:highlight w:val="none"/>
              </w:rPr>
            </w:pPr>
            <w:r>
              <w:rPr>
                <w:rFonts w:hint="default" w:ascii="Times New Roman" w:hAnsi="Times New Roman" w:eastAsia="方正仿宋_GBK" w:cs="Times New Roman"/>
                <w:i w:val="0"/>
                <w:color w:val="000000"/>
                <w:kern w:val="0"/>
                <w:sz w:val="21"/>
                <w:szCs w:val="21"/>
                <w:u w:val="none"/>
                <w:lang w:val="en-US" w:eastAsia="zh-CN" w:bidi="ar"/>
              </w:rPr>
              <w:t>109</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空间视创（重庆）科技股份有限公司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全媒体多模态大数据智能分析及应用平台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24"/>
                <w:szCs w:val="24"/>
                <w:highlight w:val="none"/>
              </w:rPr>
            </w:pPr>
            <w:r>
              <w:rPr>
                <w:rFonts w:hint="eastAsia" w:ascii="方正仿宋_GBK" w:hAnsi="方正仿宋_GBK" w:eastAsia="方正仿宋_GBK" w:cs="方正仿宋_GBK"/>
                <w:i w:val="0"/>
                <w:color w:val="000000"/>
                <w:kern w:val="0"/>
                <w:sz w:val="22"/>
                <w:szCs w:val="22"/>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110</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重庆南鹏人工智能科技研究院有限公司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儿童呼吸系统疾病大数据平台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2"/>
                <w:szCs w:val="22"/>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111</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重庆爱科思智能科技有限公司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可视化运维管控平台</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112</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睿宇时空科技（重庆）有限公司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基于UE4实景三维方案评审系统V3.0</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113</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重庆汇博利农科技有限公司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廉政档案管理系统的研发</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r>
        <w:tblPrEx>
          <w:tblCellMar>
            <w:top w:w="0" w:type="dxa"/>
            <w:left w:w="0" w:type="dxa"/>
            <w:bottom w:w="0" w:type="dxa"/>
            <w:right w:w="0" w:type="dxa"/>
          </w:tblCellMar>
        </w:tblPrEx>
        <w:trPr>
          <w:trHeight w:val="73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1"/>
                <w:szCs w:val="21"/>
                <w:highlight w:val="none"/>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114</w:t>
            </w:r>
          </w:p>
        </w:tc>
        <w:tc>
          <w:tcPr>
            <w:tcW w:w="3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重庆迪星天科技有限公司</w:t>
            </w:r>
          </w:p>
        </w:tc>
        <w:tc>
          <w:tcPr>
            <w:tcW w:w="5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迪星天应急指挥系统</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数据治理</w:t>
            </w:r>
          </w:p>
        </w:tc>
      </w:tr>
    </w:tbl>
    <w:p>
      <w:pPr>
        <w:pStyle w:val="8"/>
        <w:rPr>
          <w:rFonts w:hint="eastAsia"/>
          <w:lang w:val="en-US" w:eastAsia="zh-CN"/>
        </w:rPr>
      </w:pPr>
    </w:p>
    <w:sectPr>
      <w:footerReference r:id="rId3" w:type="default"/>
      <w:pgSz w:w="16838" w:h="11906" w:orient="landscape"/>
      <w:pgMar w:top="1587" w:right="2098" w:bottom="1474" w:left="1984"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D73ED"/>
    <w:rsid w:val="011F1B8C"/>
    <w:rsid w:val="026340F4"/>
    <w:rsid w:val="04B176D8"/>
    <w:rsid w:val="04FC3328"/>
    <w:rsid w:val="091C5D0F"/>
    <w:rsid w:val="0AB06784"/>
    <w:rsid w:val="0BA0694F"/>
    <w:rsid w:val="0BCC577D"/>
    <w:rsid w:val="0C4935CA"/>
    <w:rsid w:val="0F1577BB"/>
    <w:rsid w:val="0F87016B"/>
    <w:rsid w:val="100B1823"/>
    <w:rsid w:val="11294D1D"/>
    <w:rsid w:val="13810417"/>
    <w:rsid w:val="14B54976"/>
    <w:rsid w:val="166D0F48"/>
    <w:rsid w:val="16DB300A"/>
    <w:rsid w:val="1793797E"/>
    <w:rsid w:val="195D6F1F"/>
    <w:rsid w:val="19F319B7"/>
    <w:rsid w:val="1C412EE2"/>
    <w:rsid w:val="1CC10DE4"/>
    <w:rsid w:val="1CD25CC4"/>
    <w:rsid w:val="1E997A78"/>
    <w:rsid w:val="1EC578F7"/>
    <w:rsid w:val="1F9B4E5A"/>
    <w:rsid w:val="1FFE4ACA"/>
    <w:rsid w:val="20640426"/>
    <w:rsid w:val="213D254E"/>
    <w:rsid w:val="23AC09B8"/>
    <w:rsid w:val="23BA74D6"/>
    <w:rsid w:val="252B3B89"/>
    <w:rsid w:val="26C74D36"/>
    <w:rsid w:val="26DE53FB"/>
    <w:rsid w:val="28185860"/>
    <w:rsid w:val="295A753E"/>
    <w:rsid w:val="2A736723"/>
    <w:rsid w:val="2DA0616A"/>
    <w:rsid w:val="2DA84C96"/>
    <w:rsid w:val="2EF73CFA"/>
    <w:rsid w:val="2F86417D"/>
    <w:rsid w:val="302B365C"/>
    <w:rsid w:val="311B769B"/>
    <w:rsid w:val="31AD2C5C"/>
    <w:rsid w:val="32233A74"/>
    <w:rsid w:val="331752E3"/>
    <w:rsid w:val="34C12D67"/>
    <w:rsid w:val="36A6226A"/>
    <w:rsid w:val="37B11634"/>
    <w:rsid w:val="38D939BC"/>
    <w:rsid w:val="39527DD2"/>
    <w:rsid w:val="3A5B77BB"/>
    <w:rsid w:val="3A5F2464"/>
    <w:rsid w:val="3ABF11D7"/>
    <w:rsid w:val="3B5D515F"/>
    <w:rsid w:val="3CD87369"/>
    <w:rsid w:val="3E626526"/>
    <w:rsid w:val="3FA51916"/>
    <w:rsid w:val="411A2086"/>
    <w:rsid w:val="41BD671E"/>
    <w:rsid w:val="429C2A6C"/>
    <w:rsid w:val="44D06C23"/>
    <w:rsid w:val="45D3248C"/>
    <w:rsid w:val="46E47E56"/>
    <w:rsid w:val="4AD673D7"/>
    <w:rsid w:val="4AE80328"/>
    <w:rsid w:val="4AE851FB"/>
    <w:rsid w:val="4B4F4AC7"/>
    <w:rsid w:val="4B9923F8"/>
    <w:rsid w:val="4CCA4D7E"/>
    <w:rsid w:val="4EA96A83"/>
    <w:rsid w:val="4F6111A1"/>
    <w:rsid w:val="4FB66A38"/>
    <w:rsid w:val="500B3594"/>
    <w:rsid w:val="50195CAE"/>
    <w:rsid w:val="50D92801"/>
    <w:rsid w:val="51EF372B"/>
    <w:rsid w:val="53A96AB8"/>
    <w:rsid w:val="55421651"/>
    <w:rsid w:val="57FF67B1"/>
    <w:rsid w:val="58257BF3"/>
    <w:rsid w:val="586320F0"/>
    <w:rsid w:val="58BC2C2A"/>
    <w:rsid w:val="58D81D28"/>
    <w:rsid w:val="594413DD"/>
    <w:rsid w:val="598B1DAA"/>
    <w:rsid w:val="59BE7DF8"/>
    <w:rsid w:val="5A0311C9"/>
    <w:rsid w:val="5D811C64"/>
    <w:rsid w:val="5E3756A8"/>
    <w:rsid w:val="5EA61B02"/>
    <w:rsid w:val="5F250EA2"/>
    <w:rsid w:val="608A26EC"/>
    <w:rsid w:val="6400473C"/>
    <w:rsid w:val="64BF25E1"/>
    <w:rsid w:val="65933571"/>
    <w:rsid w:val="66A7256F"/>
    <w:rsid w:val="67F807E4"/>
    <w:rsid w:val="67FD53FF"/>
    <w:rsid w:val="6946461C"/>
    <w:rsid w:val="697C1DB5"/>
    <w:rsid w:val="6A3326E8"/>
    <w:rsid w:val="6AC73E87"/>
    <w:rsid w:val="6B4C275B"/>
    <w:rsid w:val="6BC1137F"/>
    <w:rsid w:val="6CC67125"/>
    <w:rsid w:val="6D0E7E23"/>
    <w:rsid w:val="70C84F90"/>
    <w:rsid w:val="721D3A4D"/>
    <w:rsid w:val="73F27155"/>
    <w:rsid w:val="73F939FE"/>
    <w:rsid w:val="74173F8D"/>
    <w:rsid w:val="752B7992"/>
    <w:rsid w:val="75A62B08"/>
    <w:rsid w:val="77A3138B"/>
    <w:rsid w:val="7804223B"/>
    <w:rsid w:val="7B010636"/>
    <w:rsid w:val="7B982559"/>
    <w:rsid w:val="7F036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0"/>
    <w:pPr>
      <w:keepNext/>
      <w:keepLines/>
      <w:spacing w:beforeLines="0" w:beforeAutospacing="0" w:afterLines="0" w:afterAutospacing="0" w:line="600" w:lineRule="exact"/>
      <w:ind w:firstLine="640" w:firstLineChars="200"/>
      <w:outlineLvl w:val="1"/>
    </w:pPr>
    <w:rPr>
      <w:rFonts w:ascii="Arial" w:hAnsi="Arial" w:eastAsia="方正楷体_GBK" w:cs="Times New Roman"/>
      <w:color w:val="auto"/>
      <w:sz w:val="32"/>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kern w:val="0"/>
      <w:sz w:val="27"/>
      <w:szCs w:val="27"/>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qFormat/>
    <w:uiPriority w:val="0"/>
    <w:pPr>
      <w:spacing w:before="240" w:after="60"/>
      <w:outlineLvl w:val="0"/>
    </w:pPr>
    <w:rPr>
      <w:rFonts w:ascii="Arial" w:hAnsi="Arial" w:eastAsia="宋体" w:cs="Arial"/>
      <w:b/>
      <w:bCs/>
      <w:sz w:val="32"/>
      <w:szCs w:val="32"/>
    </w:rPr>
  </w:style>
  <w:style w:type="character" w:styleId="11">
    <w:name w:val="FollowedHyperlink"/>
    <w:basedOn w:val="10"/>
    <w:qFormat/>
    <w:uiPriority w:val="0"/>
    <w:rPr>
      <w:color w:val="333333"/>
      <w:u w:val="none"/>
    </w:rPr>
  </w:style>
  <w:style w:type="character" w:styleId="12">
    <w:name w:val="HTML Typewriter"/>
    <w:basedOn w:val="10"/>
    <w:qFormat/>
    <w:uiPriority w:val="0"/>
    <w:rPr>
      <w:sz w:val="25"/>
      <w:szCs w:val="25"/>
    </w:rPr>
  </w:style>
  <w:style w:type="character" w:styleId="13">
    <w:name w:val="Hyperlink"/>
    <w:basedOn w:val="10"/>
    <w:qFormat/>
    <w:uiPriority w:val="0"/>
    <w:rPr>
      <w:color w:val="333333"/>
      <w:u w:val="none"/>
    </w:rPr>
  </w:style>
  <w:style w:type="paragraph" w:customStyle="1" w:styleId="14">
    <w:name w:val="主标题"/>
    <w:qFormat/>
    <w:uiPriority w:val="0"/>
    <w:pPr>
      <w:widowControl w:val="0"/>
      <w:spacing w:line="560" w:lineRule="exact"/>
      <w:jc w:val="center"/>
    </w:pPr>
    <w:rPr>
      <w:rFonts w:ascii="Times New Roman" w:hAnsi="Times New Roman" w:eastAsia="方正小标宋简体" w:cs="Times New Roman"/>
      <w:kern w:val="2"/>
      <w:sz w:val="44"/>
      <w:szCs w:val="40"/>
      <w:lang w:val="en-US" w:eastAsia="zh-CN" w:bidi="ar-SA"/>
    </w:rPr>
  </w:style>
  <w:style w:type="character" w:customStyle="1" w:styleId="15">
    <w:name w:val="hover"/>
    <w:basedOn w:val="10"/>
    <w:qFormat/>
    <w:uiPriority w:val="0"/>
    <w:rPr>
      <w:color w:val="1258AD"/>
      <w:u w:val="none"/>
      <w:bdr w:val="single" w:color="1258AD" w:sz="6" w:space="0"/>
    </w:rPr>
  </w:style>
  <w:style w:type="character" w:customStyle="1" w:styleId="16">
    <w:name w:val="hover1"/>
    <w:basedOn w:val="10"/>
    <w:qFormat/>
    <w:uiPriority w:val="0"/>
  </w:style>
  <w:style w:type="character" w:customStyle="1" w:styleId="17">
    <w:name w:val="first-of-type"/>
    <w:basedOn w:val="10"/>
    <w:qFormat/>
    <w:uiPriority w:val="0"/>
    <w:rPr>
      <w:shd w:val="clear" w:fill="275293"/>
    </w:rPr>
  </w:style>
  <w:style w:type="character" w:customStyle="1" w:styleId="18">
    <w:name w:val="w100"/>
    <w:basedOn w:val="10"/>
    <w:qFormat/>
    <w:uiPriority w:val="0"/>
  </w:style>
  <w:style w:type="character" w:customStyle="1" w:styleId="19">
    <w:name w:val="bg-icon"/>
    <w:basedOn w:val="10"/>
    <w:qFormat/>
    <w:uiPriority w:val="0"/>
  </w:style>
  <w:style w:type="character" w:customStyle="1" w:styleId="20">
    <w:name w:val="bg-icon1"/>
    <w:basedOn w:val="10"/>
    <w:qFormat/>
    <w:uiPriority w:val="0"/>
  </w:style>
  <w:style w:type="character" w:customStyle="1" w:styleId="21">
    <w:name w:val="bg-icon2"/>
    <w:basedOn w:val="10"/>
    <w:qFormat/>
    <w:uiPriority w:val="0"/>
  </w:style>
  <w:style w:type="character" w:customStyle="1" w:styleId="22">
    <w:name w:val="last-of-type"/>
    <w:basedOn w:val="10"/>
    <w:qFormat/>
    <w:uiPriority w:val="0"/>
    <w:rPr>
      <w:shd w:val="clear" w:fill="275293"/>
    </w:rPr>
  </w:style>
  <w:style w:type="character" w:customStyle="1" w:styleId="23">
    <w:name w:val="lispan"/>
    <w:basedOn w:val="10"/>
    <w:qFormat/>
    <w:uiPriority w:val="0"/>
    <w:rPr>
      <w:rFonts w:ascii="微软雅黑" w:hAnsi="微软雅黑" w:eastAsia="微软雅黑" w:cs="微软雅黑"/>
      <w:color w:val="275293"/>
      <w:sz w:val="27"/>
      <w:szCs w:val="27"/>
    </w:rPr>
  </w:style>
  <w:style w:type="character" w:customStyle="1" w:styleId="24">
    <w:name w:val="lfh-hdgl-span1"/>
    <w:basedOn w:val="10"/>
    <w:qFormat/>
    <w:uiPriority w:val="0"/>
    <w:rPr>
      <w:b/>
    </w:rPr>
  </w:style>
  <w:style w:type="character" w:customStyle="1" w:styleId="25">
    <w:name w:val="cur7"/>
    <w:basedOn w:val="10"/>
    <w:qFormat/>
    <w:uiPriority w:val="0"/>
    <w:rPr>
      <w:shd w:val="clear" w:fill="FF6A07"/>
    </w:rPr>
  </w:style>
  <w:style w:type="character" w:customStyle="1" w:styleId="26">
    <w:name w:val="cur8"/>
    <w:basedOn w:val="10"/>
    <w:qFormat/>
    <w:uiPriority w:val="0"/>
    <w:rPr>
      <w:shd w:val="clear" w:fill="8DAFD8"/>
    </w:rPr>
  </w:style>
  <w:style w:type="character" w:customStyle="1" w:styleId="27">
    <w:name w:val="cur9"/>
    <w:basedOn w:val="10"/>
    <w:qFormat/>
    <w:uiPriority w:val="0"/>
    <w:rPr>
      <w:shd w:val="clear" w:fill="8DAFD7"/>
    </w:rPr>
  </w:style>
  <w:style w:type="character" w:customStyle="1" w:styleId="28">
    <w:name w:val="ybk-date"/>
    <w:basedOn w:val="10"/>
    <w:qFormat/>
    <w:uiPriority w:val="0"/>
    <w:rPr>
      <w:color w:val="999999"/>
    </w:rPr>
  </w:style>
  <w:style w:type="character" w:customStyle="1" w:styleId="29">
    <w:name w:val="lfh-hdgl-span2"/>
    <w:basedOn w:val="10"/>
    <w:qFormat/>
    <w:uiPriority w:val="0"/>
  </w:style>
  <w:style w:type="character" w:customStyle="1" w:styleId="30">
    <w:name w:val="zc-date"/>
    <w:basedOn w:val="10"/>
    <w:qFormat/>
    <w:uiPriority w:val="0"/>
    <w:rPr>
      <w:color w:val="333333"/>
    </w:rPr>
  </w:style>
  <w:style w:type="character" w:customStyle="1" w:styleId="31">
    <w:name w:val="t2"/>
    <w:basedOn w:val="10"/>
    <w:qFormat/>
    <w:uiPriority w:val="0"/>
    <w:rPr>
      <w:color w:val="E2AC00"/>
      <w:sz w:val="27"/>
      <w:szCs w:val="27"/>
    </w:rPr>
  </w:style>
  <w:style w:type="character" w:customStyle="1" w:styleId="32">
    <w:name w:val="red"/>
    <w:basedOn w:val="10"/>
    <w:qFormat/>
    <w:uiPriority w:val="0"/>
    <w:rPr>
      <w:color w:val="E1211F"/>
    </w:rPr>
  </w:style>
  <w:style w:type="character" w:customStyle="1" w:styleId="33">
    <w:name w:val="red1"/>
    <w:basedOn w:val="10"/>
    <w:qFormat/>
    <w:uiPriority w:val="0"/>
    <w:rPr>
      <w:color w:val="E33938"/>
      <w:u w:val="single"/>
    </w:rPr>
  </w:style>
  <w:style w:type="character" w:customStyle="1" w:styleId="34">
    <w:name w:val="red2"/>
    <w:basedOn w:val="10"/>
    <w:qFormat/>
    <w:uiPriority w:val="0"/>
    <w:rPr>
      <w:color w:val="E1211F"/>
    </w:rPr>
  </w:style>
  <w:style w:type="character" w:customStyle="1" w:styleId="35">
    <w:name w:val="red3"/>
    <w:basedOn w:val="10"/>
    <w:qFormat/>
    <w:uiPriority w:val="0"/>
    <w:rPr>
      <w:color w:val="E1211F"/>
      <w:u w:val="single"/>
    </w:rPr>
  </w:style>
  <w:style w:type="character" w:customStyle="1" w:styleId="36">
    <w:name w:val="red4"/>
    <w:basedOn w:val="10"/>
    <w:qFormat/>
    <w:uiPriority w:val="0"/>
    <w:rPr>
      <w:color w:val="E1211F"/>
    </w:rPr>
  </w:style>
  <w:style w:type="character" w:customStyle="1" w:styleId="37">
    <w:name w:val="red5"/>
    <w:basedOn w:val="10"/>
    <w:qFormat/>
    <w:uiPriority w:val="0"/>
    <w:rPr>
      <w:color w:val="E1211F"/>
    </w:rPr>
  </w:style>
  <w:style w:type="character" w:customStyle="1" w:styleId="38">
    <w:name w:val="xhy-btns2"/>
    <w:basedOn w:val="10"/>
    <w:qFormat/>
    <w:uiPriority w:val="0"/>
  </w:style>
  <w:style w:type="character" w:customStyle="1" w:styleId="39">
    <w:name w:val="tyh-time2"/>
    <w:basedOn w:val="10"/>
    <w:qFormat/>
    <w:uiPriority w:val="0"/>
    <w:rPr>
      <w:color w:val="AAAAAA"/>
      <w:sz w:val="18"/>
      <w:szCs w:val="18"/>
    </w:rPr>
  </w:style>
  <w:style w:type="character" w:customStyle="1" w:styleId="40">
    <w:name w:val="xhy-btns1"/>
    <w:basedOn w:val="10"/>
    <w:qFormat/>
    <w:uiPriority w:val="0"/>
  </w:style>
  <w:style w:type="character" w:customStyle="1" w:styleId="41">
    <w:name w:val="xhy-mun"/>
    <w:basedOn w:val="10"/>
    <w:qFormat/>
    <w:uiPriority w:val="0"/>
    <w:rPr>
      <w:color w:val="275293"/>
    </w:rPr>
  </w:style>
  <w:style w:type="character" w:customStyle="1" w:styleId="42">
    <w:name w:val="fenye1"/>
    <w:basedOn w:val="10"/>
    <w:qFormat/>
    <w:uiPriority w:val="0"/>
  </w:style>
  <w:style w:type="character" w:customStyle="1" w:styleId="43">
    <w:name w:val="fenye11"/>
    <w:basedOn w:val="10"/>
    <w:qFormat/>
    <w:uiPriority w:val="0"/>
  </w:style>
  <w:style w:type="character" w:customStyle="1" w:styleId="44">
    <w:name w:val="fenye2"/>
    <w:basedOn w:val="10"/>
    <w:qFormat/>
    <w:uiPriority w:val="0"/>
  </w:style>
  <w:style w:type="character" w:customStyle="1" w:styleId="45">
    <w:name w:val="fenye21"/>
    <w:basedOn w:val="10"/>
    <w:qFormat/>
    <w:uiPriority w:val="0"/>
  </w:style>
  <w:style w:type="character" w:customStyle="1" w:styleId="46">
    <w:name w:val="tyh-blue"/>
    <w:basedOn w:val="10"/>
    <w:qFormat/>
    <w:uiPriority w:val="0"/>
    <w:rPr>
      <w:b/>
      <w:color w:val="FFFFFF"/>
      <w:sz w:val="21"/>
      <w:szCs w:val="21"/>
      <w:shd w:val="clear" w:fill="275293"/>
    </w:rPr>
  </w:style>
  <w:style w:type="character" w:customStyle="1" w:styleId="47">
    <w:name w:val="w262"/>
    <w:basedOn w:val="10"/>
    <w:qFormat/>
    <w:uiPriority w:val="0"/>
  </w:style>
  <w:style w:type="character" w:customStyle="1" w:styleId="48">
    <w:name w:val="w254"/>
    <w:basedOn w:val="10"/>
    <w:qFormat/>
    <w:uiPriority w:val="0"/>
  </w:style>
  <w:style w:type="character" w:customStyle="1" w:styleId="49">
    <w:name w:val="tyhl"/>
    <w:basedOn w:val="10"/>
    <w:qFormat/>
    <w:uiPriority w:val="0"/>
    <w:rPr>
      <w:color w:val="999999"/>
      <w:shd w:val="clear" w:fill="FDFDFD"/>
    </w:rPr>
  </w:style>
  <w:style w:type="character" w:customStyle="1" w:styleId="50">
    <w:name w:val="tyhl1"/>
    <w:basedOn w:val="10"/>
    <w:qFormat/>
    <w:uiPriority w:val="0"/>
    <w:rPr>
      <w:shd w:val="clear" w:fill="FFFFFF"/>
    </w:rPr>
  </w:style>
  <w:style w:type="character" w:customStyle="1" w:styleId="51">
    <w:name w:val="w641"/>
    <w:basedOn w:val="10"/>
    <w:qFormat/>
    <w:uiPriority w:val="0"/>
  </w:style>
  <w:style w:type="character" w:customStyle="1" w:styleId="52">
    <w:name w:val="tyhr"/>
    <w:basedOn w:val="10"/>
    <w:qFormat/>
    <w:uiPriority w:val="0"/>
  </w:style>
  <w:style w:type="character" w:customStyle="1" w:styleId="53">
    <w:name w:val="cur"/>
    <w:basedOn w:val="10"/>
    <w:qFormat/>
    <w:uiPriority w:val="0"/>
    <w:rPr>
      <w:shd w:val="clear" w:fill="8DAFD7"/>
    </w:rPr>
  </w:style>
  <w:style w:type="character" w:customStyle="1" w:styleId="54">
    <w:name w:val="cur1"/>
    <w:basedOn w:val="10"/>
    <w:qFormat/>
    <w:uiPriority w:val="0"/>
    <w:rPr>
      <w:shd w:val="clear" w:fill="FF6A07"/>
    </w:rPr>
  </w:style>
  <w:style w:type="character" w:customStyle="1" w:styleId="55">
    <w:name w:val="cur2"/>
    <w:basedOn w:val="10"/>
    <w:qFormat/>
    <w:uiPriority w:val="0"/>
    <w:rPr>
      <w:shd w:val="clear" w:fill="8DAFD8"/>
    </w:rPr>
  </w:style>
  <w:style w:type="character" w:customStyle="1" w:styleId="56">
    <w:name w:val="bg-icon3"/>
    <w:basedOn w:val="10"/>
    <w:qFormat/>
    <w:uiPriority w:val="0"/>
  </w:style>
  <w:style w:type="character" w:customStyle="1" w:styleId="57">
    <w:name w:val="bg-icon4"/>
    <w:basedOn w:val="10"/>
    <w:qFormat/>
    <w:uiPriority w:val="0"/>
  </w:style>
  <w:style w:type="character" w:customStyle="1" w:styleId="58">
    <w:name w:val="hover81"/>
    <w:basedOn w:val="10"/>
    <w:qFormat/>
    <w:uiPriority w:val="0"/>
  </w:style>
  <w:style w:type="character" w:customStyle="1" w:styleId="59">
    <w:name w:val="lispan1"/>
    <w:basedOn w:val="10"/>
    <w:qFormat/>
    <w:uiPriority w:val="0"/>
    <w:rPr>
      <w:rFonts w:hint="eastAsia" w:ascii="微软雅黑" w:hAnsi="微软雅黑" w:eastAsia="微软雅黑" w:cs="微软雅黑"/>
      <w:color w:val="275293"/>
      <w:sz w:val="27"/>
      <w:szCs w:val="27"/>
    </w:rPr>
  </w:style>
  <w:style w:type="character" w:customStyle="1" w:styleId="60">
    <w:name w:val="tyh-time"/>
    <w:basedOn w:val="10"/>
    <w:qFormat/>
    <w:uiPriority w:val="0"/>
    <w:rPr>
      <w:color w:val="AAAAAA"/>
      <w:sz w:val="18"/>
      <w:szCs w:val="18"/>
    </w:rPr>
  </w:style>
  <w:style w:type="character" w:customStyle="1" w:styleId="61">
    <w:name w:val="last-of-type1"/>
    <w:basedOn w:val="10"/>
    <w:qFormat/>
    <w:uiPriority w:val="0"/>
    <w:rPr>
      <w:shd w:val="clear" w:fill="27529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2019-12-05T03:52:00Z</dcterms:created>
  <dc:creator>高</dc:creator>
  <cp:lastModifiedBy>wk</cp:lastModifiedBy>
  <cp:lastPrinted>2022-07-26T01:21:00Z</cp:lastPrinted>
  <dcterms:modified xsi:type="dcterms:W3CDTF">2022-07-26T10:10:56Z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